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0511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0517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6F414AD0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呈区间窄幅震荡、区域分化明显态势，整体偏弱运行，现货东北产区受基层余粮见底、贸易商挺价及政策托底支撑价格稳弱，华北黄淮深加工企业刚需采购与持粮主体购销博弈价格波动频繁，南方销区价格高位持稳；市场供需两端博弈激烈，下方受粮源偏紧、成本支撑，上方受生猪养殖持续亏损致饲料需求疲软、小麦替代优势明显及拍卖政策预期压制。</w:t>
      </w:r>
    </w:p>
    <w:p w14:paraId="23316373">
      <w:pPr>
        <w:widowControl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6AE5D5B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产区新季玉米整体处于播种收尾、出苗关键期，成本上行、部分地区干旱。受上一年玉米收益较好驱动，农户种植意愿强，播种面积有增，且已基本完成播种。种植成本大幅上涨，地租平均涨约200元/亩左右、农资与机械费用同步上行。短期市场聚焦产区旱情发展，若持续干旱或影响产量预期、支撑远期价格；若降雨及时，新季有望丰产、后期压制价格。</w:t>
      </w:r>
    </w:p>
    <w:p w14:paraId="4A8D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·黑龙江省哈尔滨市双城区某种植户反馈当地主要种植玉米，且播种已接近尾声，地租价格在1000元/亩左右。</w:t>
      </w:r>
    </w:p>
    <w:p w14:paraId="4C3A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·黑龙江省哈尔滨市呼兰区某种植户反馈玉米月初已播种完毕，目前土壤墒情偏旱，玉米种植成本在1.8万元/垧左右。</w:t>
      </w:r>
    </w:p>
    <w:p w14:paraId="2B2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·黑龙江省哈尔滨市阿城区某种植户反馈玉米已基本种植完毕，种植比例八成左右，大豆种植占比较少。</w:t>
      </w:r>
    </w:p>
    <w:p w14:paraId="25A6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·黑龙江省齐齐哈尔市讷河市某种植户反馈玉米已播种完毕，目前正在播种大豆，大豆面积同比有所减少。</w:t>
      </w:r>
    </w:p>
    <w:p w14:paraId="771A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·黑龙江省双鸭山市宝清县某种植户反馈玉米已种植8-9成，剩余部分洼地未进行种植，预计5月中旬全部播种完毕，地租价格同比上涨200元/亩。</w:t>
      </w:r>
    </w:p>
    <w:p w14:paraId="4C464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·黑龙江省鸡西市某种植户反馈玉米已基本种植完毕，地租价格850-1050元/亩左右，同比上涨150-250元。</w:t>
      </w:r>
    </w:p>
    <w:p w14:paraId="201C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·黑龙江省黑河市嫩江市某种植户反馈受去年雨水偏大影响，部分洼地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未开始</w:t>
      </w:r>
      <w:r>
        <w:rPr>
          <w:rFonts w:hint="eastAsia" w:ascii="仿宋" w:hAnsi="仿宋" w:eastAsia="仿宋" w:cs="仿宋"/>
          <w:kern w:val="0"/>
          <w:sz w:val="32"/>
          <w:szCs w:val="32"/>
        </w:rPr>
        <w:t>种植玉米，目前已开始种植大豆。</w:t>
      </w:r>
    </w:p>
    <w:p w14:paraId="776E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·黑龙江省黑河市五大连池某种植户反馈地租同比上涨2000元/垧，玉米大豆已经开始播种。</w:t>
      </w:r>
    </w:p>
    <w:p w14:paraId="5DC6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·黑龙江省绥化市安达市某种植户反馈目前土壤墒情非常旱，已自行灌溉，周边历年以种植玉米为主。</w:t>
      </w:r>
    </w:p>
    <w:p w14:paraId="7F56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·黑龙江省佳木斯市某种植户反馈玉米地租同比上涨1500-2000元/垧，玉米种植数量偏多。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97FF937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余粮紧缺、价格稳弱、成交偏淡。基层农户余粮见底，粮源集中于贸易环节，周内局部小幅松动，深加工企业小幅下调收购价，贸易商受成本支撑普遍惜售挺价、出货谨慎；需求端受生猪养殖亏损、饲用需求疲软，企业采购偏刚需，市场成交多为前期合同执行，新单放量不足；贸易商观望情绪浓厚，整体购销节奏偏缓。</w:t>
      </w:r>
    </w:p>
    <w:p w14:paraId="168F377A">
      <w:pPr>
        <w:widowControl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0DC12A8F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深加工企业玉米收购价格整体呈稳中有落、局部微调态势，周内黑龙江头部企业库存维持45-60天左右，中西部企业到货量优于东部，哈尔滨、佳木斯、鸡西等地部分酒精企业仍处于停收、检修阶段，整体原料需求无明显提升。</w:t>
      </w:r>
    </w:p>
    <w:p w14:paraId="1AA66F6A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比上周，利空因素主导行情，部分企业到货量周比明显回升，企业加工利润亏损困局难改，原料需求持续偏弱，贸易主体低价惜售情绪偏强，玉米市场陷入僵持状态。预计短期区域内玉米收购价格将维持弱势平稳走势，大幅波动可能性较低，企业将持续保持谨慎观望，以刚需采购、消化库存为主。</w:t>
      </w:r>
    </w:p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084B241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贸易报价呈先抑后稳走势，价格波动幅度10元/吨左右，整体偏弱僵持。锦州港汽运集港日均220车1.32万吨，因下游随用随补，高价接货意愿弱，周内南下发运量偏低，北港库存小幅累积但整体压力可控。同时产区高库存成本对玉米价格底部形成支撑，贸易商抵触低价走货，整体议价空间有限。此外周内期货市场盘面呈现区间震荡整理态势，方向不明，市场观望情绪较浓，预计下周北方港口玉米贸易行情仍将维持窄幅震荡态势运行，涨跌空间均有限。</w:t>
      </w:r>
    </w:p>
    <w:p w14:paraId="2630B133">
      <w:pPr>
        <w:ind w:firstLine="420"/>
      </w:pP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周度数据汇总</w:t>
      </w:r>
    </w:p>
    <w:p w14:paraId="6E9E92C4">
      <w:pPr>
        <w:ind w:firstLine="420"/>
      </w:pP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截至05月15日当周，中储粮网共进行43场竞价交易，计划752108.00吨，实际成交618246.19吨，成交率82.20%。</w:t>
      </w: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95083.00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43961.20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46.23%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469723.00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456822.20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97.25%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187302.00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117462.79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62.71%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752108.00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618246.19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82.20%</w:t>
            </w:r>
          </w:p>
        </w:tc>
      </w:tr>
    </w:tbl>
    <w:p w14:paraId="3ADE9D8A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65A1C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玉米市场后市预期将呈区间窄幅震荡、偏弱持稳、区域分化延续的态势，短期缺乏单边驱动，整体维持“下有成本支撑、上有需求与政策压制”的博弈格局；东北产区因基层余粮见底、贸易商挺价及种植成本抬升底部支撑较强，价格易稳难跌，华北黄淮受新麦上市、贸易商腾库出货及深加工企业压价采购影响或仍偏弱波动，南方销区随用随采、价格高位持稳；需关注东北春播天气、新季种植进度及养殖利润修复情况，短期仍以震荡偏弱运行为主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95020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17008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CB54A3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01A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B18CA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E95EFF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2F6620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8F57AD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BF32D0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A10F6"/>
    <w:rsid w:val="0F2F0FDD"/>
    <w:rsid w:val="0F3140AC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AD1419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133BC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11449"/>
    <w:rsid w:val="17143FA8"/>
    <w:rsid w:val="17282687"/>
    <w:rsid w:val="172917B4"/>
    <w:rsid w:val="172C3536"/>
    <w:rsid w:val="174523BB"/>
    <w:rsid w:val="174B3DD6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E641EC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37B71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71DE5"/>
    <w:rsid w:val="1B4B7A22"/>
    <w:rsid w:val="1B527858"/>
    <w:rsid w:val="1B5532F7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BF58EB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DFB578D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228F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465A5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7411C5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246E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B9024C"/>
    <w:rsid w:val="29C0018C"/>
    <w:rsid w:val="29C6354E"/>
    <w:rsid w:val="29CB4243"/>
    <w:rsid w:val="29CD55AA"/>
    <w:rsid w:val="29CF69A3"/>
    <w:rsid w:val="29D86924"/>
    <w:rsid w:val="29DC1A0C"/>
    <w:rsid w:val="29DC5FC6"/>
    <w:rsid w:val="29E9025C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37F6A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6B4B58"/>
    <w:rsid w:val="2E740533"/>
    <w:rsid w:val="2E767802"/>
    <w:rsid w:val="2E787C13"/>
    <w:rsid w:val="2E7A4C8B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1317D3"/>
    <w:rsid w:val="2F234AE5"/>
    <w:rsid w:val="2F2B5748"/>
    <w:rsid w:val="2F3A6F64"/>
    <w:rsid w:val="2F3E371F"/>
    <w:rsid w:val="2F42112E"/>
    <w:rsid w:val="2F4D2D13"/>
    <w:rsid w:val="2F532325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71E1A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542E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1134C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0262B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96BE3"/>
    <w:rsid w:val="3AEC222F"/>
    <w:rsid w:val="3AEE4289"/>
    <w:rsid w:val="3AFB2528"/>
    <w:rsid w:val="3B0357CB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86661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7534E5"/>
    <w:rsid w:val="3D756BA3"/>
    <w:rsid w:val="3D934BE4"/>
    <w:rsid w:val="3D965136"/>
    <w:rsid w:val="3DAB4609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616C7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136A3"/>
    <w:rsid w:val="41637D49"/>
    <w:rsid w:val="416427C3"/>
    <w:rsid w:val="4177406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E353F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831F7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CE1DA3"/>
    <w:rsid w:val="49D24CE6"/>
    <w:rsid w:val="49DA2EA1"/>
    <w:rsid w:val="49EF6B0B"/>
    <w:rsid w:val="49F15670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0C71D9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14A80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0F28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A09B0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0F35A5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073BE1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A4387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82C38"/>
    <w:rsid w:val="57DE2F63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63F21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3F4AFD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A82319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458D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16B3E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4F5A97"/>
    <w:rsid w:val="665440EA"/>
    <w:rsid w:val="66611C55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3E4E97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473B0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7D6A8A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8A380A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440A5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DF0E9F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46657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5D2C9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1822</Words>
  <Characters>2012</Characters>
  <Lines>13</Lines>
  <Paragraphs>3</Paragraphs>
  <TotalTime>7</TotalTime>
  <ScaleCrop>false</ScaleCrop>
  <LinksUpToDate>false</LinksUpToDate>
  <CharactersWithSpaces>2012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2026-05-18T01:02:36Z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