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EBAE1">
      <w:pPr>
        <w:spacing w:line="580" w:lineRule="exact"/>
        <w:ind w:firstLine="880"/>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黑龙江玉米市场周报（</w:t>
      </w:r>
      <w:r>
        <w:rPr>
          <w:rFonts w:hint="eastAsia" w:asciiTheme="majorEastAsia" w:hAnsiTheme="majorEastAsia" w:eastAsiaTheme="majorEastAsia" w:cstheme="majorEastAsia"/>
          <w:sz w:val="44"/>
          <w:szCs w:val="44"/>
          <w:lang w:val="en-US" w:eastAsia="zh-CN"/>
        </w:rPr>
        <w:t>0825</w:t>
      </w:r>
      <w:r>
        <w:rPr>
          <w:rFonts w:hint="eastAsia" w:asciiTheme="majorEastAsia" w:hAnsiTheme="majorEastAsia" w:eastAsiaTheme="majorEastAsia" w:cstheme="majorEastAsia"/>
          <w:sz w:val="44"/>
          <w:szCs w:val="44"/>
        </w:rPr>
        <w:t>-0</w:t>
      </w:r>
      <w:r>
        <w:rPr>
          <w:rFonts w:hint="eastAsia" w:asciiTheme="majorEastAsia" w:hAnsiTheme="majorEastAsia" w:eastAsiaTheme="majorEastAsia" w:cstheme="majorEastAsia"/>
          <w:sz w:val="44"/>
          <w:szCs w:val="44"/>
          <w:lang w:val="en-US" w:eastAsia="zh-CN"/>
        </w:rPr>
        <w:t>831</w:t>
      </w:r>
      <w:r>
        <w:rPr>
          <w:rFonts w:hint="eastAsia" w:asciiTheme="majorEastAsia" w:hAnsiTheme="majorEastAsia" w:eastAsiaTheme="majorEastAsia" w:cstheme="majorEastAsia"/>
          <w:sz w:val="44"/>
          <w:szCs w:val="44"/>
        </w:rPr>
        <w:t>）</w:t>
      </w:r>
    </w:p>
    <w:p w14:paraId="7BF3733B">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pPr>
      <w:r>
        <w:rPr>
          <w:rFonts w:hint="eastAsia" w:ascii="仿宋" w:hAnsi="仿宋" w:eastAsia="仿宋" w:cs="仿宋"/>
          <w:kern w:val="0"/>
          <w:sz w:val="32"/>
          <w:szCs w:val="32"/>
          <w:lang w:val="en-US" w:eastAsia="zh-CN"/>
        </w:rPr>
        <w:t>本周（08月25日-08月31日）国内玉米市场呈现区域分化态势。东北地区因贸易商持续抛售、新季玉米长势良好，叠加深加工企业部分停收潮粮，价格延续弱势下行趋势。华北市场整体持稳，但受春玉米上市补充及局部余粮不足综合影响，价格呈现窄幅震荡格局。而</w:t>
      </w:r>
      <w:r>
        <w:rPr>
          <w:rFonts w:hint="eastAsia" w:ascii="仿宋" w:hAnsi="仿宋" w:eastAsia="仿宋" w:cs="仿宋"/>
          <w:color w:val="auto"/>
          <w:kern w:val="0"/>
          <w:sz w:val="32"/>
          <w:szCs w:val="32"/>
          <w:highlight w:val="none"/>
          <w:lang w:val="en-US" w:eastAsia="zh-CN"/>
        </w:rPr>
        <w:t>销区</w:t>
      </w:r>
      <w:r>
        <w:rPr>
          <w:rFonts w:hint="eastAsia" w:ascii="仿宋" w:hAnsi="仿宋" w:eastAsia="仿宋" w:cs="仿宋"/>
          <w:kern w:val="0"/>
          <w:sz w:val="32"/>
          <w:szCs w:val="32"/>
          <w:lang w:val="en-US" w:eastAsia="zh-CN"/>
        </w:rPr>
        <w:t>市场受小麦替代比例显著提升、进口玉米拍卖补充供应的影响，下游饲料企业采购积极性低迷，整体需求表现疲软，价格继续偏弱运行。未来需关注新粮上市节奏及天气对产量的扰动影响。</w:t>
      </w:r>
    </w:p>
    <w:p w14:paraId="49018B93">
      <w:pPr>
        <w:widowControl w:val="0"/>
        <w:spacing w:line="580" w:lineRule="exact"/>
        <w:ind w:firstLine="640" w:firstLineChars="200"/>
      </w:pPr>
      <w:r>
        <w:rPr>
          <w:rFonts w:hint="eastAsia" w:ascii="黑体" w:hAnsi="黑体" w:eastAsia="黑体" w:cs="黑体"/>
          <w:sz w:val="32"/>
          <w:szCs w:val="32"/>
          <w:lang w:val="en-US" w:eastAsia="zh-CN"/>
        </w:rPr>
        <w:t>8</w:t>
      </w:r>
      <w:r>
        <w:rPr>
          <w:rFonts w:hint="eastAsia" w:ascii="黑体" w:hAnsi="黑体" w:eastAsia="黑体" w:cs="黑体"/>
          <w:sz w:val="32"/>
          <w:szCs w:val="32"/>
        </w:rPr>
        <w:t>月第</w:t>
      </w:r>
      <w:r>
        <w:rPr>
          <w:rFonts w:hint="eastAsia" w:ascii="黑体" w:hAnsi="黑体" w:eastAsia="黑体" w:cs="黑体"/>
          <w:sz w:val="32"/>
          <w:szCs w:val="32"/>
          <w:lang w:val="en-US" w:eastAsia="zh-CN"/>
        </w:rPr>
        <w:t>四</w:t>
      </w:r>
      <w:r>
        <w:rPr>
          <w:rFonts w:hint="eastAsia" w:ascii="黑体" w:hAnsi="黑体" w:eastAsia="黑体" w:cs="黑体"/>
          <w:sz w:val="32"/>
          <w:szCs w:val="32"/>
        </w:rPr>
        <w:t>周现货市场行情概述：</w:t>
      </w:r>
    </w:p>
    <w:p w14:paraId="7A4F5DCF">
      <w:pPr>
        <w:widowControl w:val="0"/>
        <w:spacing w:line="580" w:lineRule="exact"/>
        <w:ind w:firstLine="643" w:firstLineChars="200"/>
      </w:pPr>
      <w:r>
        <w:rPr>
          <w:rFonts w:hint="eastAsia" w:ascii="仿宋" w:hAnsi="仿宋" w:eastAsia="仿宋" w:cs="仿宋"/>
          <w:b/>
          <w:bCs/>
          <w:kern w:val="0"/>
          <w:sz w:val="32"/>
          <w:szCs w:val="32"/>
        </w:rPr>
        <w:t>·基层玉米出售情况</w:t>
      </w:r>
    </w:p>
    <w:p w14:paraId="09BEC24E">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·黑龙江省齐齐哈尔市克山某玉米贸易主体反映，当地玉米水份14.5%以内，容重690g/L及以上，霉变2%以内的24年烘干养殖玉米，主流外发价格2120-2130元/吨。该贸易商反馈，价格弱势运行，贸易商成交不畅。</w:t>
      </w:r>
    </w:p>
    <w:p w14:paraId="56413C60">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·黑龙江省双鸭山市集贤某玉米贸易主体反映，当地玉米水份14.5%以内，容重690g/L及以上，霉变2%以内的24年烘干养殖玉米，主流外发价格2100元/吨。该贸易商反馈，</w:t>
      </w:r>
      <w:bookmarkStart w:id="0" w:name="_GoBack"/>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目前市场处于有价无市的状态，</w:t>
      </w:r>
      <w:bookmarkEnd w:id="0"/>
      <w:r>
        <w:rPr>
          <w:rFonts w:hint="eastAsia" w:ascii="仿宋" w:hAnsi="仿宋" w:eastAsia="仿宋" w:cs="仿宋"/>
          <w:kern w:val="0"/>
          <w:sz w:val="32"/>
          <w:szCs w:val="32"/>
          <w:lang w:val="en-US" w:eastAsia="zh-CN"/>
        </w:rPr>
        <w:t>贸易商库存基本清空。</w:t>
      </w:r>
    </w:p>
    <w:p w14:paraId="20D297F3">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鹤岗市某玉米贸易主体反映，当地玉米水份14%以内，容重700-710g/L及以上，霉变2%以内的24年烘干养殖玉米，主流装车价格2150-2170元/吨。该贸易商反馈，主要发往养殖、饲料，预期今年农场相对好地块产量可达到15-16吨。</w:t>
      </w:r>
    </w:p>
    <w:p w14:paraId="17665643">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·黑龙江省绥化市某玉米贸易主体反映，当地玉米水份13%以内，容重690g/L及以上，霉变2%以内的24年烘干养殖玉米，主流装车价格2150-2170元/吨。该贸易商反馈，成交偏差，部分降价出货。</w:t>
      </w:r>
    </w:p>
    <w:p w14:paraId="2DCE3E4D">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·黑龙江省哈尔滨市延寿某玉米贸易主体反映，当地玉米水份14%以内，容重700g/L及以上，霉变2%以内的24年烘干养殖玉米，主流外发价格2130-2150元/吨。该贸易商反馈，价格偏弱，贸易商执行合同为主。</w:t>
      </w:r>
    </w:p>
    <w:p w14:paraId="6BF6D4BF">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·黑龙江省五大连池市某贸易主体反映，当地玉米过筛装车价2090元/吨，水分14.5%左右，容重700g/L左右。该贸易主体反馈，玉米库存3000吨左右。</w:t>
      </w:r>
    </w:p>
    <w:p w14:paraId="53D2BAD7">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·贸易环节购销动态</w:t>
      </w:r>
    </w:p>
    <w:p w14:paraId="6525F669">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highlight w:val="none"/>
          <w:lang w:val="en-US" w:eastAsia="zh-CN"/>
        </w:rPr>
        <w:t xml:space="preserve">本周黑龙江省玉米市场购销整体承压，呈现"优质优价、普粮下行"的分化格局。受贸易商加速清库、春玉米上市补充及深加工企业部分停收影响，普通粮源价格持续承压；但优质净粮因需求刚性维持坚挺，区域价差显著扩大。交易模式呈两极分化：大吨位订单直供饲料集团与深加工企业，小散订单则灵活服务中小养殖场。物流枢纽因仓储优势存在明显溢价。未来需关注新粮丰产预期下的开秤价博弈及天气对灌浆期的扰动。  </w:t>
      </w:r>
    </w:p>
    <w:p w14:paraId="77794B2B">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·深加工企业收购情况</w:t>
      </w:r>
    </w:p>
    <w:p w14:paraId="2D8BEFC1">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highlight w:val="none"/>
          <w:lang w:val="en-US" w:eastAsia="zh-CN"/>
        </w:rPr>
        <w:t>本周东北玉米深加工市场疲态持续。收购价普遍下行，企业密集调降报价，新粮上市预期拉大新陈价差，陈粮供应持续压制价格。深加工需求深度收缩，部分企业暂停收购或被动缩量，仅维持刚需采购，开机率维持低位。企业库存策略保守，优先消耗现有库存及合同粮，散粮采购占比极低。下游加工品（如淀粉）积压压力未减，持续倒逼原料收购端压价。</w:t>
      </w:r>
    </w:p>
    <w:p w14:paraId="5782B3C5">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highlight w:val="none"/>
          <w:lang w:val="en-US" w:eastAsia="zh-CN"/>
        </w:rPr>
        <w:t>区域间分化显现：余粮有限区域跌势稍缓，部分区域调价更趋激进。贸易环节普遍加速腾库，新作上市预期下粮源流通宽松。饲料企业零散补库对市场支撑微弱。当前核心矛盾体现为新粮供给周期与产业链需求疲弱的共振，市场聚焦9月上市量对供需格局的校准。</w:t>
      </w:r>
    </w:p>
    <w:p w14:paraId="5BBC1DEE">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·北方港口行情影响因素及分析</w:t>
      </w:r>
    </w:p>
    <w:p w14:paraId="5D6CE08A">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本周北方港口玉米市场呈现购销清淡格局，受供应放量与需求疲软双重压制。新粮上市临近叠加高水分粮源存储压力，持粮主体积极出货，干粮品质支撑有限成交，但普粮流通滞缓；需求端饲料企业维持低库存策略，深加工补库受利润压缩制约，采购整体乏力。物流环节承压显著，南北发运持续倒挂抑制贸易商积极性，港口仓储溢价空间收窄。贸易活动以执行既有合同及小单灵活交易为主，大吨位直供占比下降。</w:t>
      </w:r>
    </w:p>
    <w:p w14:paraId="14506B8F">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rPr>
          <w:rFonts w:hint="eastAsia"/>
          <w:lang w:val="en-US" w:eastAsia="zh-CN"/>
        </w:rPr>
      </w:pPr>
      <w:r>
        <w:rPr>
          <w:rFonts w:hint="eastAsia" w:ascii="仿宋" w:hAnsi="仿宋" w:eastAsia="仿宋" w:cs="仿宋"/>
          <w:kern w:val="0"/>
          <w:sz w:val="32"/>
          <w:szCs w:val="32"/>
          <w:lang w:val="en-US" w:eastAsia="zh-CN"/>
        </w:rPr>
        <w:t>未来核心变量聚焦新粮开秤价博弈、政策轮换节奏及产区天气对灌浆期扰动，市场短期仍将延续"优质缓跌、普粮承压"态势。</w:t>
      </w:r>
    </w:p>
    <w:p w14:paraId="6BA6AEA4">
      <w:pPr>
        <w:keepNext w:val="0"/>
        <w:keepLines w:val="0"/>
        <w:pageBreakBefore w:val="0"/>
        <w:widowControl w:val="0"/>
        <w:kinsoku/>
        <w:wordWrap/>
        <w:overflowPunct/>
        <w:topLinePunct w:val="0"/>
        <w:autoSpaceDE/>
        <w:autoSpaceDN/>
        <w:bidi w:val="0"/>
        <w:adjustRightInd/>
        <w:snapToGrid/>
        <w:spacing w:after="188" w:afterLines="60" w:line="600" w:lineRule="exact"/>
        <w:ind w:firstLine="643" w:firstLineChars="200"/>
        <w:textAlignment w:val="auto"/>
      </w:pPr>
      <w:r>
        <w:rPr>
          <w:rFonts w:hint="eastAsia" w:ascii="仿宋" w:hAnsi="仿宋" w:eastAsia="仿宋" w:cs="仿宋"/>
          <w:b/>
          <w:bCs/>
          <w:kern w:val="0"/>
          <w:sz w:val="32"/>
          <w:szCs w:val="32"/>
        </w:rPr>
        <w:t>·中储粮玉米</w:t>
      </w:r>
      <w:r>
        <w:rPr>
          <w:rFonts w:hint="eastAsia" w:ascii="仿宋" w:hAnsi="仿宋" w:eastAsia="仿宋" w:cs="仿宋"/>
          <w:b/>
          <w:bCs/>
          <w:kern w:val="0"/>
          <w:sz w:val="32"/>
          <w:szCs w:val="32"/>
          <w:lang w:val="en-US" w:eastAsia="zh-CN"/>
        </w:rPr>
        <w:t>黑龙江</w:t>
      </w:r>
      <w:r>
        <w:rPr>
          <w:rFonts w:hint="eastAsia" w:ascii="仿宋" w:hAnsi="仿宋" w:eastAsia="仿宋" w:cs="仿宋"/>
          <w:b/>
          <w:bCs/>
          <w:kern w:val="0"/>
          <w:sz w:val="32"/>
          <w:szCs w:val="32"/>
        </w:rPr>
        <w:t>拍卖周度数据汇总</w:t>
      </w:r>
    </w:p>
    <w:p w14:paraId="40722A99">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outlineLvl w:val="9"/>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截至8月29日当周，中储粮网共进行21场竞价拍卖，包括14场竞价销售，6场竞价采购，1场购销双向，计划554897吨，实际成交180741.62吨，成交率32.57%。</w:t>
      </w:r>
    </w:p>
    <w:p w14:paraId="23CFAAFA">
      <w:pPr>
        <w:rPr>
          <w:rFonts w:hint="eastAsia"/>
        </w:rPr>
      </w:pPr>
    </w:p>
    <w:tbl>
      <w:tblPr>
        <w:tblStyle w:val="4"/>
        <w:tblW w:w="8782" w:type="dxa"/>
        <w:jc w:val="center"/>
        <w:tblLayout w:type="fixed"/>
        <w:tblCellMar>
          <w:top w:w="0" w:type="dxa"/>
          <w:left w:w="0" w:type="dxa"/>
          <w:bottom w:w="0" w:type="dxa"/>
          <w:right w:w="0" w:type="dxa"/>
        </w:tblCellMar>
      </w:tblPr>
      <w:tblGrid>
        <w:gridCol w:w="2174"/>
        <w:gridCol w:w="1338"/>
        <w:gridCol w:w="1756"/>
        <w:gridCol w:w="1757"/>
        <w:gridCol w:w="1757"/>
      </w:tblGrid>
      <w:tr w14:paraId="12CDE312">
        <w:tblPrEx>
          <w:tblCellMar>
            <w:top w:w="0" w:type="dxa"/>
            <w:left w:w="0" w:type="dxa"/>
            <w:bottom w:w="0" w:type="dxa"/>
            <w:right w:w="0" w:type="dxa"/>
          </w:tblCellMar>
        </w:tblPrEx>
        <w:trPr>
          <w:trHeight w:val="233" w:hRule="atLeast"/>
          <w:jc w:val="center"/>
        </w:trPr>
        <w:tc>
          <w:tcPr>
            <w:tcW w:w="8782" w:type="dxa"/>
            <w:gridSpan w:val="5"/>
            <w:tcBorders>
              <w:top w:val="single" w:color="000000" w:sz="12" w:space="0"/>
              <w:left w:val="nil"/>
              <w:bottom w:val="single" w:color="000000" w:sz="4" w:space="0"/>
              <w:right w:val="nil"/>
              <w:tl2br w:val="nil"/>
            </w:tcBorders>
            <w:shd w:val="clear" w:color="auto" w:fill="FFFFFF"/>
            <w:tcMar>
              <w:top w:w="15" w:type="dxa"/>
              <w:left w:w="15" w:type="dxa"/>
              <w:right w:w="15" w:type="dxa"/>
            </w:tcMar>
            <w:vAlign w:val="center"/>
          </w:tcPr>
          <w:p w14:paraId="5460C754">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bCs/>
                <w:color w:val="000000"/>
                <w:sz w:val="24"/>
                <w:szCs w:val="24"/>
              </w:rPr>
            </w:pPr>
            <w:r>
              <w:rPr>
                <w:rFonts w:hint="eastAsia" w:ascii="仿宋" w:hAnsi="仿宋" w:eastAsia="仿宋" w:cs="仿宋"/>
                <w:b/>
                <w:bCs/>
                <w:color w:val="000000"/>
                <w:kern w:val="0"/>
                <w:sz w:val="24"/>
              </w:rPr>
              <w:t>竞价销售</w:t>
            </w:r>
          </w:p>
        </w:tc>
      </w:tr>
      <w:tr w14:paraId="124DCA3F">
        <w:tblPrEx>
          <w:tblCellMar>
            <w:top w:w="0" w:type="dxa"/>
            <w:left w:w="0" w:type="dxa"/>
            <w:bottom w:w="0" w:type="dxa"/>
            <w:right w:w="0" w:type="dxa"/>
          </w:tblCellMar>
        </w:tblPrEx>
        <w:trPr>
          <w:trHeight w:val="237" w:hRule="atLeast"/>
          <w:jc w:val="center"/>
        </w:trPr>
        <w:tc>
          <w:tcPr>
            <w:tcW w:w="2174" w:type="dxa"/>
            <w:tcBorders>
              <w:top w:val="single" w:color="000000" w:sz="4" w:space="0"/>
              <w:left w:val="nil"/>
              <w:bottom w:val="nil"/>
              <w:right w:val="nil"/>
            </w:tcBorders>
            <w:shd w:val="clear" w:color="auto" w:fill="FFFFFF"/>
            <w:tcMar>
              <w:top w:w="15" w:type="dxa"/>
              <w:left w:w="15" w:type="dxa"/>
              <w:right w:w="15" w:type="dxa"/>
            </w:tcMar>
            <w:vAlign w:val="center"/>
          </w:tcPr>
          <w:p w14:paraId="4333DC1F">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日期</w:t>
            </w:r>
          </w:p>
        </w:tc>
        <w:tc>
          <w:tcPr>
            <w:tcW w:w="1338" w:type="dxa"/>
            <w:tcBorders>
              <w:top w:val="single" w:color="000000" w:sz="4" w:space="0"/>
              <w:left w:val="nil"/>
              <w:bottom w:val="nil"/>
              <w:right w:val="nil"/>
            </w:tcBorders>
            <w:shd w:val="clear" w:color="auto" w:fill="FFFFFF"/>
            <w:tcMar>
              <w:top w:w="15" w:type="dxa"/>
              <w:left w:w="15" w:type="dxa"/>
              <w:right w:w="15" w:type="dxa"/>
            </w:tcMar>
            <w:vAlign w:val="center"/>
          </w:tcPr>
          <w:p w14:paraId="0A4766AE">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场次</w:t>
            </w:r>
          </w:p>
        </w:tc>
        <w:tc>
          <w:tcPr>
            <w:tcW w:w="1756" w:type="dxa"/>
            <w:tcBorders>
              <w:top w:val="single" w:color="000000" w:sz="4" w:space="0"/>
              <w:left w:val="nil"/>
              <w:bottom w:val="nil"/>
              <w:right w:val="nil"/>
            </w:tcBorders>
            <w:shd w:val="clear" w:color="auto" w:fill="FFFFFF"/>
            <w:tcMar>
              <w:top w:w="15" w:type="dxa"/>
              <w:left w:w="15" w:type="dxa"/>
              <w:right w:w="15" w:type="dxa"/>
            </w:tcMar>
            <w:vAlign w:val="center"/>
          </w:tcPr>
          <w:p w14:paraId="6F8904B1">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交易/吨</w:t>
            </w:r>
          </w:p>
        </w:tc>
        <w:tc>
          <w:tcPr>
            <w:tcW w:w="1757" w:type="dxa"/>
            <w:tcBorders>
              <w:top w:val="single" w:color="000000" w:sz="4" w:space="0"/>
              <w:left w:val="nil"/>
              <w:bottom w:val="nil"/>
              <w:right w:val="nil"/>
            </w:tcBorders>
            <w:shd w:val="clear" w:color="auto" w:fill="FFFFFF"/>
            <w:tcMar>
              <w:top w:w="15" w:type="dxa"/>
              <w:left w:w="15" w:type="dxa"/>
              <w:right w:w="15" w:type="dxa"/>
            </w:tcMar>
            <w:vAlign w:val="center"/>
          </w:tcPr>
          <w:p w14:paraId="30C502A1">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成交/吨</w:t>
            </w:r>
          </w:p>
        </w:tc>
        <w:tc>
          <w:tcPr>
            <w:tcW w:w="1757" w:type="dxa"/>
            <w:tcBorders>
              <w:top w:val="single" w:color="000000" w:sz="4" w:space="0"/>
              <w:left w:val="nil"/>
              <w:bottom w:val="nil"/>
              <w:right w:val="nil"/>
            </w:tcBorders>
            <w:shd w:val="clear" w:color="auto" w:fill="FFFFFF"/>
            <w:tcMar>
              <w:top w:w="15" w:type="dxa"/>
              <w:left w:w="15" w:type="dxa"/>
              <w:right w:w="15" w:type="dxa"/>
            </w:tcMar>
            <w:vAlign w:val="center"/>
          </w:tcPr>
          <w:p w14:paraId="4DD20460">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rPr>
              <w:t>成交率</w:t>
            </w:r>
          </w:p>
        </w:tc>
      </w:tr>
      <w:tr w14:paraId="5F7D3133">
        <w:tblPrEx>
          <w:tblCellMar>
            <w:top w:w="0" w:type="dxa"/>
            <w:left w:w="0" w:type="dxa"/>
            <w:bottom w:w="0" w:type="dxa"/>
            <w:right w:w="0" w:type="dxa"/>
          </w:tblCellMar>
        </w:tblPrEx>
        <w:trPr>
          <w:trHeight w:val="507" w:hRule="atLeast"/>
          <w:jc w:val="center"/>
        </w:trPr>
        <w:tc>
          <w:tcPr>
            <w:tcW w:w="2174" w:type="dxa"/>
            <w:tcBorders>
              <w:top w:val="nil"/>
              <w:left w:val="nil"/>
              <w:bottom w:val="nil"/>
              <w:right w:val="nil"/>
            </w:tcBorders>
            <w:shd w:val="clear" w:color="auto" w:fill="FFFFFF"/>
            <w:tcMar>
              <w:top w:w="15" w:type="dxa"/>
              <w:left w:w="15" w:type="dxa"/>
              <w:right w:w="15" w:type="dxa"/>
            </w:tcMar>
            <w:vAlign w:val="center"/>
          </w:tcPr>
          <w:p w14:paraId="053E5BBD">
            <w:pPr>
              <w:keepNext w:val="0"/>
              <w:keepLines w:val="0"/>
              <w:widowControl/>
              <w:suppressLineNumbers w:val="0"/>
              <w:spacing w:before="0" w:beforeAutospacing="0" w:after="0" w:afterAutospacing="0"/>
              <w:ind w:left="0" w:leftChars="0" w:right="0" w:rightChars="0"/>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22</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29</w:t>
            </w:r>
            <w:r>
              <w:rPr>
                <w:rFonts w:hint="eastAsia" w:ascii="仿宋" w:hAnsi="仿宋" w:eastAsia="仿宋" w:cs="仿宋"/>
                <w:color w:val="000000"/>
                <w:kern w:val="0"/>
                <w:sz w:val="24"/>
              </w:rPr>
              <w:t>日</w:t>
            </w:r>
          </w:p>
        </w:tc>
        <w:tc>
          <w:tcPr>
            <w:tcW w:w="1338" w:type="dxa"/>
            <w:tcBorders>
              <w:top w:val="nil"/>
              <w:left w:val="nil"/>
              <w:bottom w:val="nil"/>
              <w:right w:val="nil"/>
            </w:tcBorders>
            <w:shd w:val="clear" w:color="auto" w:fill="FFFFFF"/>
            <w:tcMar>
              <w:top w:w="15" w:type="dxa"/>
              <w:left w:w="15" w:type="dxa"/>
              <w:right w:w="15" w:type="dxa"/>
            </w:tcMar>
            <w:vAlign w:val="center"/>
          </w:tcPr>
          <w:p w14:paraId="11B259C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14</w:t>
            </w:r>
          </w:p>
        </w:tc>
        <w:tc>
          <w:tcPr>
            <w:tcW w:w="1756" w:type="dxa"/>
            <w:tcBorders>
              <w:top w:val="nil"/>
              <w:left w:val="nil"/>
              <w:bottom w:val="nil"/>
              <w:right w:val="nil"/>
            </w:tcBorders>
            <w:shd w:val="clear" w:color="auto" w:fill="FFFFFF"/>
            <w:tcMar>
              <w:top w:w="15" w:type="dxa"/>
              <w:left w:w="15" w:type="dxa"/>
              <w:right w:w="15" w:type="dxa"/>
            </w:tcMar>
            <w:vAlign w:val="center"/>
          </w:tcPr>
          <w:p w14:paraId="3A0251B0">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516730.00</w:t>
            </w:r>
          </w:p>
        </w:tc>
        <w:tc>
          <w:tcPr>
            <w:tcW w:w="1757" w:type="dxa"/>
            <w:tcBorders>
              <w:top w:val="nil"/>
              <w:left w:val="nil"/>
              <w:bottom w:val="nil"/>
              <w:right w:val="nil"/>
            </w:tcBorders>
            <w:shd w:val="clear" w:color="auto" w:fill="FFFFFF"/>
            <w:tcMar>
              <w:top w:w="15" w:type="dxa"/>
              <w:left w:w="15" w:type="dxa"/>
              <w:right w:w="15" w:type="dxa"/>
            </w:tcMar>
            <w:vAlign w:val="center"/>
          </w:tcPr>
          <w:p w14:paraId="02D546DA">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147117.62</w:t>
            </w:r>
          </w:p>
        </w:tc>
        <w:tc>
          <w:tcPr>
            <w:tcW w:w="1757" w:type="dxa"/>
            <w:tcBorders>
              <w:top w:val="nil"/>
              <w:left w:val="nil"/>
              <w:bottom w:val="nil"/>
              <w:right w:val="nil"/>
            </w:tcBorders>
            <w:shd w:val="clear" w:color="auto" w:fill="FFFFFF"/>
            <w:tcMar>
              <w:top w:w="15" w:type="dxa"/>
              <w:left w:w="15" w:type="dxa"/>
              <w:right w:w="15" w:type="dxa"/>
            </w:tcMar>
            <w:vAlign w:val="center"/>
          </w:tcPr>
          <w:p w14:paraId="37C494A9">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28.47%</w:t>
            </w:r>
          </w:p>
        </w:tc>
      </w:tr>
      <w:tr w14:paraId="4912AF4B">
        <w:tblPrEx>
          <w:tblCellMar>
            <w:top w:w="0" w:type="dxa"/>
            <w:left w:w="0" w:type="dxa"/>
            <w:bottom w:w="0" w:type="dxa"/>
            <w:right w:w="0" w:type="dxa"/>
          </w:tblCellMar>
        </w:tblPrEx>
        <w:trPr>
          <w:trHeight w:val="400" w:hRule="atLeast"/>
          <w:jc w:val="center"/>
        </w:trPr>
        <w:tc>
          <w:tcPr>
            <w:tcW w:w="8782" w:type="dxa"/>
            <w:gridSpan w:val="5"/>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3615476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b/>
                <w:bCs/>
                <w:color w:val="000000"/>
                <w:kern w:val="0"/>
                <w:sz w:val="24"/>
                <w:lang w:val="en-US" w:eastAsia="zh-CN"/>
              </w:rPr>
              <w:t>竞价采购</w:t>
            </w:r>
          </w:p>
        </w:tc>
      </w:tr>
      <w:tr w14:paraId="1B665691">
        <w:tblPrEx>
          <w:tblCellMar>
            <w:top w:w="0" w:type="dxa"/>
            <w:left w:w="0" w:type="dxa"/>
            <w:bottom w:w="0" w:type="dxa"/>
            <w:right w:w="0" w:type="dxa"/>
          </w:tblCellMar>
        </w:tblPrEx>
        <w:trPr>
          <w:trHeight w:val="358" w:hRule="atLeast"/>
          <w:jc w:val="center"/>
        </w:trPr>
        <w:tc>
          <w:tcPr>
            <w:tcW w:w="2174"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4860F6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日期</w:t>
            </w:r>
          </w:p>
        </w:tc>
        <w:tc>
          <w:tcPr>
            <w:tcW w:w="1338"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51246C7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场次</w:t>
            </w:r>
          </w:p>
        </w:tc>
        <w:tc>
          <w:tcPr>
            <w:tcW w:w="1756"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706B251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交易/吨</w:t>
            </w:r>
          </w:p>
        </w:tc>
        <w:tc>
          <w:tcPr>
            <w:tcW w:w="1757"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35BB02E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成交/吨</w:t>
            </w:r>
          </w:p>
        </w:tc>
        <w:tc>
          <w:tcPr>
            <w:tcW w:w="1757"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4AF89C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成交率</w:t>
            </w:r>
          </w:p>
        </w:tc>
      </w:tr>
      <w:tr w14:paraId="6047237B">
        <w:tblPrEx>
          <w:tblCellMar>
            <w:top w:w="0" w:type="dxa"/>
            <w:left w:w="0" w:type="dxa"/>
            <w:bottom w:w="0" w:type="dxa"/>
            <w:right w:w="0" w:type="dxa"/>
          </w:tblCellMar>
        </w:tblPrEx>
        <w:trPr>
          <w:trHeight w:val="507" w:hRule="atLeast"/>
          <w:jc w:val="center"/>
        </w:trPr>
        <w:tc>
          <w:tcPr>
            <w:tcW w:w="2174"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1F8063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22</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29</w:t>
            </w:r>
            <w:r>
              <w:rPr>
                <w:rFonts w:hint="eastAsia" w:ascii="仿宋" w:hAnsi="仿宋" w:eastAsia="仿宋" w:cs="仿宋"/>
                <w:color w:val="000000"/>
                <w:kern w:val="0"/>
                <w:sz w:val="24"/>
              </w:rPr>
              <w:t>日</w:t>
            </w:r>
          </w:p>
        </w:tc>
        <w:tc>
          <w:tcPr>
            <w:tcW w:w="1338"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1F9D555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6</w:t>
            </w:r>
          </w:p>
        </w:tc>
        <w:tc>
          <w:tcPr>
            <w:tcW w:w="1756"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0CECCD42">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rPr>
            </w:pPr>
            <w:r>
              <w:rPr>
                <w:rFonts w:hint="eastAsia" w:ascii="仿宋" w:hAnsi="仿宋" w:eastAsia="仿宋" w:cs="仿宋"/>
                <w:color w:val="000000"/>
                <w:kern w:val="0"/>
                <w:sz w:val="24"/>
                <w:lang w:val="en-US" w:eastAsia="zh-CN"/>
              </w:rPr>
              <w:t>34139.00</w:t>
            </w:r>
          </w:p>
        </w:tc>
        <w:tc>
          <w:tcPr>
            <w:tcW w:w="1757"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23082A3F">
            <w:pPr>
              <w:keepNext w:val="0"/>
              <w:keepLines w:val="0"/>
              <w:suppressLineNumbers w:val="0"/>
              <w:spacing w:before="0" w:beforeAutospacing="0" w:after="0" w:afterAutospacing="0"/>
              <w:ind w:left="0" w:leftChars="0" w:right="0" w:rightChars="0"/>
              <w:jc w:val="right"/>
              <w:rPr>
                <w:rFonts w:hint="default" w:ascii="仿宋" w:hAnsi="仿宋" w:eastAsia="仿宋" w:cs="仿宋"/>
                <w:color w:val="000000"/>
                <w:kern w:val="0"/>
                <w:sz w:val="24"/>
                <w:lang w:val="en-US"/>
              </w:rPr>
            </w:pPr>
            <w:r>
              <w:rPr>
                <w:rFonts w:hint="eastAsia" w:ascii="仿宋" w:hAnsi="仿宋" w:eastAsia="仿宋" w:cs="仿宋"/>
                <w:color w:val="000000"/>
                <w:kern w:val="0"/>
                <w:sz w:val="24"/>
                <w:lang w:val="en-US" w:eastAsia="zh-CN"/>
              </w:rPr>
              <w:t>29596.00</w:t>
            </w:r>
          </w:p>
        </w:tc>
        <w:tc>
          <w:tcPr>
            <w:tcW w:w="1757"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181570EC">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89.69%</w:t>
            </w:r>
          </w:p>
        </w:tc>
      </w:tr>
      <w:tr w14:paraId="16615D82">
        <w:tblPrEx>
          <w:tblCellMar>
            <w:top w:w="0" w:type="dxa"/>
            <w:left w:w="0" w:type="dxa"/>
            <w:bottom w:w="0" w:type="dxa"/>
            <w:right w:w="0" w:type="dxa"/>
          </w:tblCellMar>
        </w:tblPrEx>
        <w:trPr>
          <w:trHeight w:val="303" w:hRule="atLeast"/>
          <w:jc w:val="center"/>
        </w:trPr>
        <w:tc>
          <w:tcPr>
            <w:tcW w:w="8782" w:type="dxa"/>
            <w:gridSpan w:val="5"/>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724911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b/>
                <w:bCs/>
                <w:color w:val="000000"/>
                <w:kern w:val="0"/>
                <w:sz w:val="24"/>
              </w:rPr>
              <w:t>购销双向</w:t>
            </w:r>
          </w:p>
        </w:tc>
      </w:tr>
      <w:tr w14:paraId="0AE040F7">
        <w:tblPrEx>
          <w:tblCellMar>
            <w:top w:w="0" w:type="dxa"/>
            <w:left w:w="0" w:type="dxa"/>
            <w:bottom w:w="0" w:type="dxa"/>
            <w:right w:w="0" w:type="dxa"/>
          </w:tblCellMar>
        </w:tblPrEx>
        <w:trPr>
          <w:trHeight w:val="507" w:hRule="atLeast"/>
          <w:jc w:val="center"/>
        </w:trPr>
        <w:tc>
          <w:tcPr>
            <w:tcW w:w="2174"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1A1B981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日期</w:t>
            </w:r>
          </w:p>
        </w:tc>
        <w:tc>
          <w:tcPr>
            <w:tcW w:w="1338"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4A346F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场次</w:t>
            </w:r>
          </w:p>
        </w:tc>
        <w:tc>
          <w:tcPr>
            <w:tcW w:w="1756"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2B8F60F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交易/吨</w:t>
            </w:r>
          </w:p>
        </w:tc>
        <w:tc>
          <w:tcPr>
            <w:tcW w:w="1757"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0854B01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成交/吨</w:t>
            </w:r>
          </w:p>
        </w:tc>
        <w:tc>
          <w:tcPr>
            <w:tcW w:w="1757" w:type="dxa"/>
            <w:tcBorders>
              <w:top w:val="single" w:color="auto" w:sz="6" w:space="0"/>
              <w:left w:val="nil"/>
              <w:bottom w:val="single" w:color="auto" w:sz="6" w:space="0"/>
              <w:right w:val="nil"/>
            </w:tcBorders>
            <w:shd w:val="clear" w:color="auto" w:fill="FFFFFF"/>
            <w:tcMar>
              <w:top w:w="15" w:type="dxa"/>
              <w:left w:w="15" w:type="dxa"/>
              <w:right w:w="15" w:type="dxa"/>
            </w:tcMar>
            <w:vAlign w:val="center"/>
          </w:tcPr>
          <w:p w14:paraId="6526663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rPr>
              <w:t>成交率</w:t>
            </w:r>
          </w:p>
        </w:tc>
      </w:tr>
      <w:tr w14:paraId="26D34E6B">
        <w:tblPrEx>
          <w:tblCellMar>
            <w:top w:w="0" w:type="dxa"/>
            <w:left w:w="0" w:type="dxa"/>
            <w:bottom w:w="0" w:type="dxa"/>
            <w:right w:w="0" w:type="dxa"/>
          </w:tblCellMar>
        </w:tblPrEx>
        <w:trPr>
          <w:trHeight w:val="507" w:hRule="atLeast"/>
          <w:jc w:val="center"/>
        </w:trPr>
        <w:tc>
          <w:tcPr>
            <w:tcW w:w="2174" w:type="dxa"/>
            <w:tcBorders>
              <w:top w:val="single" w:color="auto" w:sz="6" w:space="0"/>
              <w:left w:val="nil"/>
              <w:bottom w:val="single" w:color="auto" w:sz="4" w:space="0"/>
              <w:right w:val="nil"/>
            </w:tcBorders>
            <w:shd w:val="clear" w:color="auto" w:fill="FFFFFF"/>
            <w:tcMar>
              <w:top w:w="15" w:type="dxa"/>
              <w:left w:w="15" w:type="dxa"/>
              <w:right w:w="15" w:type="dxa"/>
            </w:tcMar>
            <w:vAlign w:val="center"/>
          </w:tcPr>
          <w:p w14:paraId="61C3AB4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22</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29</w:t>
            </w:r>
            <w:r>
              <w:rPr>
                <w:rFonts w:hint="eastAsia" w:ascii="仿宋" w:hAnsi="仿宋" w:eastAsia="仿宋" w:cs="仿宋"/>
                <w:color w:val="000000"/>
                <w:kern w:val="0"/>
                <w:sz w:val="24"/>
              </w:rPr>
              <w:t>日</w:t>
            </w:r>
          </w:p>
        </w:tc>
        <w:tc>
          <w:tcPr>
            <w:tcW w:w="1338" w:type="dxa"/>
            <w:tcBorders>
              <w:top w:val="single" w:color="auto" w:sz="6" w:space="0"/>
              <w:left w:val="nil"/>
              <w:bottom w:val="single" w:color="auto" w:sz="4" w:space="0"/>
              <w:right w:val="nil"/>
            </w:tcBorders>
            <w:shd w:val="clear" w:color="auto" w:fill="FFFFFF"/>
            <w:tcMar>
              <w:top w:w="15" w:type="dxa"/>
              <w:left w:w="15" w:type="dxa"/>
              <w:right w:w="15" w:type="dxa"/>
            </w:tcMar>
            <w:vAlign w:val="center"/>
          </w:tcPr>
          <w:p w14:paraId="40A40F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756" w:type="dxa"/>
            <w:tcBorders>
              <w:top w:val="single" w:color="auto" w:sz="6" w:space="0"/>
              <w:left w:val="nil"/>
              <w:bottom w:val="single" w:color="auto" w:sz="4" w:space="0"/>
              <w:right w:val="nil"/>
            </w:tcBorders>
            <w:shd w:val="clear" w:color="auto" w:fill="FFFFFF"/>
            <w:tcMar>
              <w:top w:w="15" w:type="dxa"/>
              <w:left w:w="15" w:type="dxa"/>
              <w:right w:w="15" w:type="dxa"/>
            </w:tcMar>
            <w:vAlign w:val="center"/>
          </w:tcPr>
          <w:p w14:paraId="05F709B5">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4028.00</w:t>
            </w:r>
          </w:p>
        </w:tc>
        <w:tc>
          <w:tcPr>
            <w:tcW w:w="1757" w:type="dxa"/>
            <w:tcBorders>
              <w:top w:val="single" w:color="auto" w:sz="6" w:space="0"/>
              <w:left w:val="nil"/>
              <w:bottom w:val="single" w:color="auto" w:sz="4" w:space="0"/>
              <w:right w:val="nil"/>
            </w:tcBorders>
            <w:shd w:val="clear" w:color="auto" w:fill="FFFFFF"/>
            <w:tcMar>
              <w:top w:w="15" w:type="dxa"/>
              <w:left w:w="15" w:type="dxa"/>
              <w:right w:w="15" w:type="dxa"/>
            </w:tcMar>
            <w:vAlign w:val="center"/>
          </w:tcPr>
          <w:p w14:paraId="208E9176">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4028.00</w:t>
            </w:r>
          </w:p>
        </w:tc>
        <w:tc>
          <w:tcPr>
            <w:tcW w:w="1757" w:type="dxa"/>
            <w:tcBorders>
              <w:top w:val="single" w:color="auto" w:sz="6" w:space="0"/>
              <w:left w:val="nil"/>
              <w:bottom w:val="single" w:color="auto" w:sz="4" w:space="0"/>
              <w:right w:val="nil"/>
            </w:tcBorders>
            <w:shd w:val="clear" w:color="auto" w:fill="FFFFFF"/>
            <w:tcMar>
              <w:top w:w="15" w:type="dxa"/>
              <w:left w:w="15" w:type="dxa"/>
              <w:right w:w="15" w:type="dxa"/>
            </w:tcMar>
            <w:vAlign w:val="center"/>
          </w:tcPr>
          <w:p w14:paraId="60D075FC">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100.00%</w:t>
            </w:r>
          </w:p>
        </w:tc>
      </w:tr>
    </w:tbl>
    <w:p w14:paraId="2ECF3111">
      <w:pPr>
        <w:keepNext w:val="0"/>
        <w:keepLines w:val="0"/>
        <w:pageBreakBefore w:val="0"/>
        <w:widowControl w:val="0"/>
        <w:kinsoku/>
        <w:wordWrap/>
        <w:overflowPunct/>
        <w:topLinePunct w:val="0"/>
        <w:autoSpaceDE/>
        <w:autoSpaceDN/>
        <w:bidi w:val="0"/>
        <w:adjustRightInd/>
        <w:snapToGrid/>
        <w:spacing w:after="188" w:afterLines="60" w:line="600" w:lineRule="exact"/>
        <w:ind w:firstLine="640" w:firstLineChars="200"/>
        <w:textAlignment w:val="auto"/>
        <w:rPr>
          <w:rFonts w:hint="eastAsia"/>
        </w:rPr>
      </w:pPr>
      <w:r>
        <w:rPr>
          <w:rFonts w:hint="eastAsia" w:ascii="黑体" w:hAnsi="黑体" w:eastAsia="黑体" w:cs="黑体"/>
          <w:sz w:val="32"/>
          <w:szCs w:val="32"/>
          <w:lang w:val="en-US" w:eastAsia="zh-CN"/>
        </w:rPr>
        <w:t>9</w:t>
      </w:r>
      <w:r>
        <w:rPr>
          <w:rFonts w:hint="eastAsia" w:ascii="黑体" w:hAnsi="黑体" w:eastAsia="黑体" w:cs="黑体"/>
          <w:sz w:val="32"/>
          <w:szCs w:val="32"/>
        </w:rPr>
        <w:t>月第</w:t>
      </w:r>
      <w:r>
        <w:rPr>
          <w:rFonts w:hint="eastAsia" w:ascii="黑体" w:hAnsi="黑体" w:eastAsia="黑体" w:cs="黑体"/>
          <w:sz w:val="32"/>
          <w:szCs w:val="32"/>
          <w:lang w:val="en-US" w:eastAsia="zh-CN"/>
        </w:rPr>
        <w:t>一周</w:t>
      </w:r>
      <w:r>
        <w:rPr>
          <w:rFonts w:hint="eastAsia" w:ascii="黑体" w:hAnsi="黑体" w:eastAsia="黑体" w:cs="黑体"/>
          <w:sz w:val="32"/>
          <w:szCs w:val="32"/>
        </w:rPr>
        <w:t>现货市场行情展望：</w:t>
      </w:r>
    </w:p>
    <w:p w14:paraId="11153EAE">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outlineLvl w:val="9"/>
        <w:rPr>
          <w:rFonts w:hint="eastAsia"/>
        </w:rPr>
      </w:pPr>
      <w:r>
        <w:rPr>
          <w:rFonts w:hint="eastAsia" w:ascii="仿宋" w:hAnsi="仿宋" w:eastAsia="仿宋" w:cs="仿宋"/>
          <w:kern w:val="0"/>
          <w:sz w:val="32"/>
          <w:szCs w:val="32"/>
          <w:lang w:val="en-US" w:eastAsia="zh-CN"/>
        </w:rPr>
        <w:t>当前黑龙江玉米市场供应压力显著，陈粮库存持续释放叠加新季玉米上市预期临近，贸易商加速出货回笼资金。下游深加工企业压价心态明确，潮粮收购价同比偏低，饲料端维持刚性采购，整体需求疲软。市场情绪谨慎，价格呈现弱势震荡格局。</w:t>
      </w:r>
    </w:p>
    <w:p w14:paraId="6DEABF6C">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outlineLvl w:val="9"/>
        <w:rPr>
          <w:rFonts w:hint="eastAsia"/>
        </w:rPr>
      </w:pPr>
      <w:r>
        <w:rPr>
          <w:rFonts w:hint="eastAsia" w:ascii="仿宋" w:hAnsi="仿宋" w:eastAsia="仿宋" w:cs="仿宋"/>
          <w:kern w:val="0"/>
          <w:sz w:val="32"/>
          <w:szCs w:val="32"/>
          <w:lang w:val="en-US" w:eastAsia="zh-CN"/>
        </w:rPr>
        <w:t>展望下周，9月上旬新粮将逐步上市，开秤价预计低于往年同期，陈粮价格受成本支撑或跌幅收窄，但供应过剩矛盾仍突出。深加工企业因产品利润承压，压价策略难改；饲料企业库存策略保守，难有明显放量支撑。贸易商操作趋谨慎，重点关注新粮质量和降水速度带来的区域价差波动。若持续阴雨延缓收割，短期供应压力或缓解，但政策调控将成为关键变量，或引导市场情绪阶段性企稳。</w:t>
      </w:r>
    </w:p>
    <w:p w14:paraId="78945A1D">
      <w:pPr>
        <w:keepNext w:val="0"/>
        <w:keepLines w:val="0"/>
        <w:pageBreakBefore w:val="0"/>
        <w:widowControl/>
        <w:kinsoku/>
        <w:wordWrap/>
        <w:overflowPunct/>
        <w:topLinePunct w:val="0"/>
        <w:autoSpaceDE/>
        <w:autoSpaceDN/>
        <w:bidi w:val="0"/>
        <w:adjustRightInd/>
        <w:snapToGrid/>
        <w:spacing w:after="188" w:afterLines="60" w:line="600" w:lineRule="exact"/>
        <w:ind w:firstLine="640" w:firstLineChars="200"/>
        <w:textAlignment w:val="auto"/>
        <w:outlineLvl w:val="9"/>
      </w:pPr>
      <w:r>
        <w:rPr>
          <w:rFonts w:hint="eastAsia" w:ascii="仿宋" w:hAnsi="仿宋" w:eastAsia="仿宋" w:cs="仿宋"/>
          <w:kern w:val="0"/>
          <w:sz w:val="32"/>
          <w:szCs w:val="32"/>
          <w:lang w:val="en-US" w:eastAsia="zh-CN"/>
        </w:rPr>
        <w:t>综上所述，9月首周黑龙江玉米市场核心矛盾仍是新陈粮叠加供应与疲软需求的博弈。尽管陈粮成本线对价格下行空间形成一定托底，但新粮集中上市预期强化买方议价权，价格整体或延续低位盘整。需警惕天气扰动对短期供应的边际改善作用，以及政策端储备轮入对市场情绪的提振可能。长期看，玉米质量分化、区域流通效率及下游需求复苏节奏将成为打破弱平衡格局的关键突破口。</w:t>
      </w:r>
    </w:p>
    <w:p w14:paraId="2D2454F3"/>
    <w:p w14:paraId="4A62DE2C"/>
    <w:p w14:paraId="047964D2"/>
    <w:p w14:paraId="777DD738"/>
    <w:p w14:paraId="1D53C29C"/>
    <w:p w14:paraId="108F7A80"/>
    <w:p w14:paraId="4EBBD0E3"/>
    <w:sectPr>
      <w:headerReference r:id="rId3" w:type="default"/>
      <w:footerReference r:id="rId4" w:type="default"/>
      <w:pgSz w:w="11906" w:h="16838"/>
      <w:pgMar w:top="2098" w:right="1531" w:bottom="1531" w:left="1531" w:header="567" w:footer="567"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AC16B">
    <w:pPr>
      <w:pStyle w:val="2"/>
      <w:spacing w:after="60"/>
      <w:ind w:firstLine="360"/>
      <w:jc w:val="both"/>
      <w:rPr>
        <w:rFonts w:ascii="Arial" w:hAnsi="Arial" w:cs="Arial"/>
        <w:color w:val="336600"/>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A4FDB5">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8A4FDB5">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C46B">
    <w:pPr>
      <w:pStyle w:val="3"/>
      <w:pBdr>
        <w:bottom w:val="none" w:color="auto" w:sz="0" w:space="0"/>
      </w:pBdr>
      <w:spacing w:after="6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82DE4"/>
    <w:rsid w:val="03595555"/>
    <w:rsid w:val="04212517"/>
    <w:rsid w:val="059211F2"/>
    <w:rsid w:val="0AA50196"/>
    <w:rsid w:val="0F162902"/>
    <w:rsid w:val="10945158"/>
    <w:rsid w:val="16A04450"/>
    <w:rsid w:val="1B96096C"/>
    <w:rsid w:val="1DAF4298"/>
    <w:rsid w:val="21B300CF"/>
    <w:rsid w:val="2C282DE4"/>
    <w:rsid w:val="2E7D5CEC"/>
    <w:rsid w:val="36EA5EE9"/>
    <w:rsid w:val="455235D7"/>
    <w:rsid w:val="700510C2"/>
    <w:rsid w:val="781A76D5"/>
    <w:rsid w:val="79D00993"/>
    <w:rsid w:val="7C4B4301"/>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2105</Words>
  <Characters>2314</Characters>
  <Lines>0</Lines>
  <Paragraphs>0</Paragraphs>
  <TotalTime>31</TotalTime>
  <ScaleCrop>false</ScaleCrop>
  <LinksUpToDate>false</LinksUpToDate>
  <CharactersWithSpaces>2316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2025-08-29T07:53:00Z</dcterms:created>
  <dc:creator>Administrator</dc:creator>
  <cp:lastModifiedBy>凌凌</cp:lastModifiedBy>
  <dcterms:modified xsi:type="dcterms:W3CDTF">2025-09-01T03:45:59Z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3194FE91D5484E7CA1BBBFE3C0FEDBFE_13</vt:lpwstr>
  </property>
  <property fmtid="{D5CDD505-2E9C-101B-9397-08002B2CF9AE}" pid="4" name="KSOTemplateDocerSaveRecord">
    <vt:lpwstr>eyJoZGlkIjoiMWQyYzc3ZmM3YmM0NzEwOGRmNzdiMzJmOGYwMGNhN2QiLCJ1c2VySWQiOiI1NzU4Mzc4MjkifQ==</vt:lpwstr>
  </property>
</Properties>
</file>